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00"/>
        <w:ind w:left="363" w:hanging="0"/>
        <w:jc w:val="center"/>
        <w:rPr>
          <w:rFonts w:cs="Arial"/>
        </w:rPr>
      </w:pPr>
      <w:r>
        <w:rPr>
          <w:rFonts w:eastAsia="Times New Roman" w:cs="Arial" w:ascii="Arial" w:hAnsi="Arial"/>
          <w:b/>
          <w:sz w:val="28"/>
          <w:szCs w:val="24"/>
          <w:lang w:eastAsia="it-IT"/>
        </w:rPr>
        <w:t>TABELLA RIEPILOGATIVA DELLE ALIQUOTA BASE IMU E TASI</w:t>
      </w:r>
    </w:p>
    <w:tbl>
      <w:tblPr>
        <w:tblW w:w="9750" w:type="dxa"/>
        <w:jc w:val="left"/>
        <w:tblInd w:w="-22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5" w:type="dxa"/>
          <w:left w:w="-15" w:type="dxa"/>
          <w:bottom w:w="15" w:type="dxa"/>
          <w:right w:w="15" w:type="dxa"/>
        </w:tblCellMar>
      </w:tblPr>
      <w:tblGrid>
        <w:gridCol w:w="1952"/>
        <w:gridCol w:w="1013"/>
        <w:gridCol w:w="832"/>
        <w:gridCol w:w="911"/>
        <w:gridCol w:w="1008"/>
        <w:gridCol w:w="999"/>
        <w:gridCol w:w="700"/>
        <w:gridCol w:w="700"/>
        <w:gridCol w:w="1635"/>
      </w:tblGrid>
      <w:tr>
        <w:trPr>
          <w:trHeight w:val="120" w:hRule="atLeast"/>
        </w:trPr>
        <w:tc>
          <w:tcPr>
            <w:tcW w:w="19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15" w:type="dxa"/>
            </w:tcMar>
            <w:vAlign w:val="bottom"/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Arial" w:hAnsi="Arial" w:eastAsia="Times New Roman" w:cs="Arial"/>
                <w:sz w:val="12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sz w:val="12"/>
                <w:szCs w:val="24"/>
                <w:lang w:eastAsia="it-IT"/>
              </w:rPr>
            </w:r>
          </w:p>
        </w:tc>
        <w:tc>
          <w:tcPr>
            <w:tcW w:w="3764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15" w:type="dxa"/>
            </w:tcMar>
            <w:vAlign w:val="bottom"/>
          </w:tcPr>
          <w:p>
            <w:pPr>
              <w:pStyle w:val="Normal"/>
              <w:spacing w:lineRule="atLeast" w:line="12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it-IT"/>
              </w:rPr>
              <w:t>IMU</w:t>
            </w:r>
          </w:p>
        </w:tc>
        <w:tc>
          <w:tcPr>
            <w:tcW w:w="4034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auto" w:val="clear"/>
            <w:tcMar>
              <w:left w:w="-15" w:type="dxa"/>
            </w:tcMar>
            <w:vAlign w:val="bottom"/>
          </w:tcPr>
          <w:p>
            <w:pPr>
              <w:pStyle w:val="Normal"/>
              <w:spacing w:lineRule="atLeast" w:line="12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it-IT"/>
              </w:rPr>
              <w:t>TASI</w:t>
            </w:r>
          </w:p>
        </w:tc>
      </w:tr>
      <w:tr>
        <w:trPr>
          <w:trHeight w:val="255" w:hRule="atLeast"/>
        </w:trPr>
        <w:tc>
          <w:tcPr>
            <w:tcW w:w="195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it-IT"/>
              </w:rPr>
              <w:t>Fattispecie</w:t>
            </w:r>
          </w:p>
        </w:tc>
        <w:tc>
          <w:tcPr>
            <w:tcW w:w="101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it-IT"/>
              </w:rPr>
              <w:t>Norma di riferimento</w:t>
            </w:r>
          </w:p>
        </w:tc>
        <w:tc>
          <w:tcPr>
            <w:tcW w:w="83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it-IT"/>
              </w:rPr>
              <w:t>Aliquota legge</w:t>
            </w:r>
          </w:p>
        </w:tc>
        <w:tc>
          <w:tcPr>
            <w:tcW w:w="91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it-IT"/>
              </w:rPr>
              <w:t>Aliquota min</w:t>
            </w:r>
          </w:p>
        </w:tc>
        <w:tc>
          <w:tcPr>
            <w:tcW w:w="1008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it-IT"/>
              </w:rPr>
              <w:t>Aliquota max</w:t>
            </w:r>
          </w:p>
        </w:tc>
        <w:tc>
          <w:tcPr>
            <w:tcW w:w="999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it-IT"/>
              </w:rPr>
              <w:t>Norma di riferimento</w:t>
            </w:r>
          </w:p>
        </w:tc>
        <w:tc>
          <w:tcPr>
            <w:tcW w:w="7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it-IT"/>
              </w:rPr>
              <w:t>Aliquota legge</w:t>
            </w:r>
          </w:p>
        </w:tc>
        <w:tc>
          <w:tcPr>
            <w:tcW w:w="7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it-IT"/>
              </w:rPr>
              <w:t>Aliquota min</w:t>
            </w:r>
          </w:p>
        </w:tc>
        <w:tc>
          <w:tcPr>
            <w:tcW w:w="163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  <w:insideH w:val="thickThinLargeGap" w:sz="6" w:space="0" w:color="000000"/>
              <w:insideV w:val="thickThinLargeGap" w:sz="6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it-IT"/>
              </w:rPr>
              <w:t>Aliquota</w:t>
              <w:br/>
              <w:t>max</w:t>
            </w:r>
          </w:p>
        </w:tc>
      </w:tr>
      <w:tr>
        <w:trPr>
          <w:trHeight w:val="661" w:hRule="atLeast"/>
        </w:trPr>
        <w:tc>
          <w:tcPr>
            <w:tcW w:w="195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CC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Abitazione principale di categoria catastale A/2, A/3, A/4, A/5, A/6, A/7</w:t>
            </w:r>
          </w:p>
        </w:tc>
        <w:tc>
          <w:tcPr>
            <w:tcW w:w="101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CC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val="en-GB"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val="en-GB" w:eastAsia="it-IT"/>
              </w:rPr>
              <w:t xml:space="preserve">Art. 13, comma 2, </w:t>
              <w:br/>
              <w:t>d.l. n. 201/2011</w:t>
            </w:r>
          </w:p>
        </w:tc>
        <w:tc>
          <w:tcPr>
            <w:tcW w:w="2751" w:type="dxa"/>
            <w:gridSpan w:val="3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CC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Esente</w:t>
            </w:r>
          </w:p>
        </w:tc>
        <w:tc>
          <w:tcPr>
            <w:tcW w:w="999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CC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 xml:space="preserve">Art. 1, commi 639 e 669, legge n. 147/2013 </w:t>
            </w:r>
          </w:p>
        </w:tc>
        <w:tc>
          <w:tcPr>
            <w:tcW w:w="3035" w:type="dxa"/>
            <w:gridSpan w:val="3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  <w:insideH w:val="thickThinLargeGap" w:sz="6" w:space="0" w:color="000000"/>
              <w:insideV w:val="thickThinLargeGap" w:sz="6" w:space="0" w:color="000000"/>
            </w:tcBorders>
            <w:shd w:fill="CC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Esente</w:t>
            </w:r>
          </w:p>
        </w:tc>
      </w:tr>
      <w:tr>
        <w:trPr>
          <w:trHeight w:val="255" w:hRule="atLeast"/>
        </w:trPr>
        <w:tc>
          <w:tcPr>
            <w:tcW w:w="195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CC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Abitazione principale di categoria catastale A/1, A/8 e A/9</w:t>
            </w:r>
          </w:p>
        </w:tc>
        <w:tc>
          <w:tcPr>
            <w:tcW w:w="101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CC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val="en-GB"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val="en-GB" w:eastAsia="it-IT"/>
              </w:rPr>
              <w:t xml:space="preserve">Art. 13, comma 7, </w:t>
              <w:br/>
              <w:t>d.l. n. 201/2011</w:t>
            </w:r>
          </w:p>
        </w:tc>
        <w:tc>
          <w:tcPr>
            <w:tcW w:w="83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CC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4‰</w:t>
            </w:r>
          </w:p>
        </w:tc>
        <w:tc>
          <w:tcPr>
            <w:tcW w:w="91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CC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2‰</w:t>
            </w:r>
          </w:p>
        </w:tc>
        <w:tc>
          <w:tcPr>
            <w:tcW w:w="1008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CC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6‰</w:t>
            </w:r>
          </w:p>
        </w:tc>
        <w:tc>
          <w:tcPr>
            <w:tcW w:w="999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CC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Art. 1, commi 676 e 677, legge n. 147/2013</w:t>
            </w:r>
          </w:p>
        </w:tc>
        <w:tc>
          <w:tcPr>
            <w:tcW w:w="7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CC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1‰</w:t>
            </w:r>
          </w:p>
        </w:tc>
        <w:tc>
          <w:tcPr>
            <w:tcW w:w="7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CC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63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  <w:insideH w:val="thickThinLargeGap" w:sz="6" w:space="0" w:color="000000"/>
              <w:insideV w:val="thickThinLargeGap" w:sz="6" w:space="0" w:color="000000"/>
            </w:tcBorders>
            <w:shd w:fill="CC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Somma imu+tasi: max 6‰ (6,8‰ in caso di utilizzo della maggiorazione dello 0,8‰)</w:t>
            </w:r>
          </w:p>
        </w:tc>
      </w:tr>
      <w:tr>
        <w:trPr>
          <w:trHeight w:val="255" w:hRule="atLeast"/>
        </w:trPr>
        <w:tc>
          <w:tcPr>
            <w:tcW w:w="195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Altri fabbricati</w:t>
            </w:r>
          </w:p>
        </w:tc>
        <w:tc>
          <w:tcPr>
            <w:tcW w:w="101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val="en-GB"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val="en-GB" w:eastAsia="it-IT"/>
              </w:rPr>
              <w:t xml:space="preserve">Art. 13, comma 6, </w:t>
              <w:br/>
              <w:t>d.l. n. 201/2011</w:t>
            </w:r>
          </w:p>
        </w:tc>
        <w:tc>
          <w:tcPr>
            <w:tcW w:w="83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7,6‰</w:t>
            </w:r>
          </w:p>
        </w:tc>
        <w:tc>
          <w:tcPr>
            <w:tcW w:w="91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4,6‰</w:t>
            </w:r>
          </w:p>
        </w:tc>
        <w:tc>
          <w:tcPr>
            <w:tcW w:w="1008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10,6‰</w:t>
            </w:r>
          </w:p>
        </w:tc>
        <w:tc>
          <w:tcPr>
            <w:tcW w:w="999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Art. 1, commi 676 e 677, legge n. 147/2013</w:t>
            </w:r>
          </w:p>
        </w:tc>
        <w:tc>
          <w:tcPr>
            <w:tcW w:w="7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1‰</w:t>
            </w:r>
          </w:p>
        </w:tc>
        <w:tc>
          <w:tcPr>
            <w:tcW w:w="7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63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  <w:insideH w:val="thickThinLargeGap" w:sz="6" w:space="0" w:color="000000"/>
              <w:insideV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Somma imu+tasi: max 10,6‰ (11,4‰ in caso di utilizzo della maggiorazione dello 0,8‰)</w:t>
            </w:r>
          </w:p>
        </w:tc>
      </w:tr>
      <w:tr>
        <w:trPr>
          <w:trHeight w:val="255" w:hRule="atLeast"/>
        </w:trPr>
        <w:tc>
          <w:tcPr>
            <w:tcW w:w="195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Fabbricati di categoria D</w:t>
            </w:r>
          </w:p>
        </w:tc>
        <w:tc>
          <w:tcPr>
            <w:tcW w:w="101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Art. 1, comma 380, lett. F) e g), legge n. 228/2012</w:t>
            </w:r>
          </w:p>
        </w:tc>
        <w:tc>
          <w:tcPr>
            <w:tcW w:w="83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 xml:space="preserve">7,6‰, riservata allo Stato </w:t>
            </w:r>
          </w:p>
        </w:tc>
        <w:tc>
          <w:tcPr>
            <w:tcW w:w="91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 xml:space="preserve">7,6‰, riservata allo Stato </w:t>
            </w:r>
          </w:p>
        </w:tc>
        <w:tc>
          <w:tcPr>
            <w:tcW w:w="1008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10,6‰, di cui 7,6‰ riservata allo Stato</w:t>
            </w:r>
          </w:p>
        </w:tc>
        <w:tc>
          <w:tcPr>
            <w:tcW w:w="999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Art. 1, commi 676 e 677, legge n. 147/2013</w:t>
            </w:r>
          </w:p>
        </w:tc>
        <w:tc>
          <w:tcPr>
            <w:tcW w:w="7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1‰</w:t>
            </w:r>
          </w:p>
        </w:tc>
        <w:tc>
          <w:tcPr>
            <w:tcW w:w="7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63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  <w:insideH w:val="thickThinLargeGap" w:sz="6" w:space="0" w:color="000000"/>
              <w:insideV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Somma imu+tasi: max 10,6‰ (11,4‰ in caso di utilizzo della maggiorazione dello 0,8‰)</w:t>
            </w:r>
          </w:p>
        </w:tc>
      </w:tr>
      <w:tr>
        <w:trPr>
          <w:trHeight w:val="255" w:hRule="atLeast"/>
        </w:trPr>
        <w:tc>
          <w:tcPr>
            <w:tcW w:w="195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Fabbricati costruiti e destinati dall'impresa costruttrice alla vendita, fintanto che permanga tale destinazione e non siano in ogni caso locati (fabbricati merce)</w:t>
            </w:r>
          </w:p>
        </w:tc>
        <w:tc>
          <w:tcPr>
            <w:tcW w:w="101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val="en-GB"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val="en-GB" w:eastAsia="it-IT"/>
              </w:rPr>
              <w:t>Art. 13, comma 9-bis, d.l. n. 201/2011</w:t>
            </w:r>
          </w:p>
        </w:tc>
        <w:tc>
          <w:tcPr>
            <w:tcW w:w="2751" w:type="dxa"/>
            <w:gridSpan w:val="3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it-IT"/>
              </w:rPr>
              <w:t>Esenti</w:t>
            </w:r>
          </w:p>
        </w:tc>
        <w:tc>
          <w:tcPr>
            <w:tcW w:w="999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Art. 1, comma 678, legge n. 147/2013</w:t>
            </w:r>
          </w:p>
        </w:tc>
        <w:tc>
          <w:tcPr>
            <w:tcW w:w="7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1‰</w:t>
            </w:r>
          </w:p>
        </w:tc>
        <w:tc>
          <w:tcPr>
            <w:tcW w:w="7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63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  <w:insideH w:val="thickThinLargeGap" w:sz="6" w:space="0" w:color="000000"/>
              <w:insideV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2,5‰ (3,3‰ in caso di utilizzo della maggiorazione dello 0,8‰)</w:t>
            </w:r>
          </w:p>
        </w:tc>
      </w:tr>
      <w:tr>
        <w:trPr>
          <w:trHeight w:val="255" w:hRule="atLeast"/>
        </w:trPr>
        <w:tc>
          <w:tcPr>
            <w:tcW w:w="195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Fabbricati rurali strumentali</w:t>
            </w:r>
          </w:p>
        </w:tc>
        <w:tc>
          <w:tcPr>
            <w:tcW w:w="101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 xml:space="preserve">Art. 1, comma 708, </w:t>
              <w:br/>
              <w:t>legge n. 147/2013</w:t>
            </w:r>
          </w:p>
        </w:tc>
        <w:tc>
          <w:tcPr>
            <w:tcW w:w="2751" w:type="dxa"/>
            <w:gridSpan w:val="3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Esenti</w:t>
            </w:r>
          </w:p>
        </w:tc>
        <w:tc>
          <w:tcPr>
            <w:tcW w:w="999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Art. 1, comma 678, legge n. 147/2013</w:t>
            </w:r>
          </w:p>
        </w:tc>
        <w:tc>
          <w:tcPr>
            <w:tcW w:w="7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1‰</w:t>
            </w:r>
          </w:p>
        </w:tc>
        <w:tc>
          <w:tcPr>
            <w:tcW w:w="7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63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  <w:insideH w:val="thickThinLargeGap" w:sz="6" w:space="0" w:color="000000"/>
              <w:insideV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1‰</w:t>
            </w:r>
          </w:p>
        </w:tc>
      </w:tr>
      <w:tr>
        <w:trPr>
          <w:trHeight w:val="255" w:hRule="atLeast"/>
        </w:trPr>
        <w:tc>
          <w:tcPr>
            <w:tcW w:w="195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FF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Aree fabbricabili</w:t>
            </w:r>
          </w:p>
        </w:tc>
        <w:tc>
          <w:tcPr>
            <w:tcW w:w="101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FF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val="en-GB"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val="en-GB" w:eastAsia="it-IT"/>
              </w:rPr>
              <w:t xml:space="preserve">Art. 13, comma 6, </w:t>
              <w:br/>
              <w:t>d.l. n. 201/2011</w:t>
            </w:r>
          </w:p>
        </w:tc>
        <w:tc>
          <w:tcPr>
            <w:tcW w:w="83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FF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7,6‰</w:t>
            </w:r>
          </w:p>
        </w:tc>
        <w:tc>
          <w:tcPr>
            <w:tcW w:w="91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FF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4,6‰</w:t>
            </w:r>
          </w:p>
        </w:tc>
        <w:tc>
          <w:tcPr>
            <w:tcW w:w="1008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FF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10,6‰</w:t>
            </w:r>
          </w:p>
        </w:tc>
        <w:tc>
          <w:tcPr>
            <w:tcW w:w="999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FF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Art. 1, commi 676 e 677, legge n. 147/2013</w:t>
            </w:r>
          </w:p>
        </w:tc>
        <w:tc>
          <w:tcPr>
            <w:tcW w:w="7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FF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1‰</w:t>
            </w:r>
          </w:p>
        </w:tc>
        <w:tc>
          <w:tcPr>
            <w:tcW w:w="7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FF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63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  <w:insideH w:val="thickThinLargeGap" w:sz="6" w:space="0" w:color="000000"/>
              <w:insideV w:val="thickThinLargeGap" w:sz="6" w:space="0" w:color="000000"/>
            </w:tcBorders>
            <w:shd w:fill="FFFF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Somma imu+tasi: max 10,6‰ (11,4‰ in caso di utilizzo della maggiorazione dello 0,8‰)</w:t>
            </w:r>
          </w:p>
        </w:tc>
      </w:tr>
      <w:tr>
        <w:trPr>
          <w:trHeight w:val="255" w:hRule="atLeast"/>
        </w:trPr>
        <w:tc>
          <w:tcPr>
            <w:tcW w:w="1952" w:type="dxa"/>
            <w:vMerge w:val="restart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99CC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Terreni agricoli</w:t>
            </w:r>
          </w:p>
        </w:tc>
        <w:tc>
          <w:tcPr>
            <w:tcW w:w="101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99CC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val="en-GB"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val="en-GB" w:eastAsia="it-IT"/>
              </w:rPr>
              <w:t xml:space="preserve">Art. 13, comma 6, </w:t>
              <w:br/>
              <w:t>d.l. n. 201/2011</w:t>
            </w:r>
          </w:p>
        </w:tc>
        <w:tc>
          <w:tcPr>
            <w:tcW w:w="83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99CC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7,6‰</w:t>
            </w:r>
          </w:p>
        </w:tc>
        <w:tc>
          <w:tcPr>
            <w:tcW w:w="91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99CC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4,6‰</w:t>
            </w:r>
          </w:p>
        </w:tc>
        <w:tc>
          <w:tcPr>
            <w:tcW w:w="1008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99CC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10,6‰</w:t>
            </w:r>
          </w:p>
        </w:tc>
        <w:tc>
          <w:tcPr>
            <w:tcW w:w="999" w:type="dxa"/>
            <w:vMerge w:val="restart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99CC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 xml:space="preserve">Art. 1, commi 639 e 669, legge n. 147/2013 </w:t>
            </w:r>
          </w:p>
        </w:tc>
        <w:tc>
          <w:tcPr>
            <w:tcW w:w="3035" w:type="dxa"/>
            <w:gridSpan w:val="3"/>
            <w:vMerge w:val="restart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  <w:insideH w:val="thickThinLargeGap" w:sz="6" w:space="0" w:color="000000"/>
              <w:insideV w:val="thickThinLargeGap" w:sz="6" w:space="0" w:color="000000"/>
            </w:tcBorders>
            <w:shd w:fill="99CC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Esclusi</w:t>
            </w:r>
          </w:p>
        </w:tc>
      </w:tr>
      <w:tr>
        <w:trPr/>
        <w:tc>
          <w:tcPr>
            <w:tcW w:w="1952" w:type="dxa"/>
            <w:vMerge w:val="continue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it-IT"/>
              </w:rPr>
            </w:r>
          </w:p>
        </w:tc>
        <w:tc>
          <w:tcPr>
            <w:tcW w:w="10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99CC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 xml:space="preserve">Art. 1, comma 13, </w:t>
              <w:br/>
              <w:t>legge n. 208/2015</w:t>
            </w:r>
          </w:p>
        </w:tc>
        <w:tc>
          <w:tcPr>
            <w:tcW w:w="2751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99CCFF" w:val="clear"/>
            <w:tcMar>
              <w:left w:w="-15" w:type="dxa"/>
            </w:tcMar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Esenti in questi casi:</w:t>
              <w:br/>
              <w:t xml:space="preserve">• terreni agricoli ubicati nei comuni compresi nell’elenco di cui alla circolare Ministero delle finanze n. 9 del 14 /6/1993 </w:t>
              <w:br/>
              <w:t>• terreni agricoli posseduti e condotti da coltivatori diretti e imprenditori agricoli professionali ex art. 1 del D. Lgs. N. 99/2004, iscritti nella previdenza agricola</w:t>
              <w:br/>
              <w:t>• terreni agricoli ubicati nei comuni delle isole minori di cui all'all. A annesso alla legge n. 448 del 2001</w:t>
              <w:br/>
              <w:t>• terreni agricoli a immutabile destinazione agro-silvo-pastorale a proprietà collettiva indivisibile e inusucapibile</w:t>
            </w:r>
          </w:p>
        </w:tc>
        <w:tc>
          <w:tcPr>
            <w:tcW w:w="999" w:type="dxa"/>
            <w:vMerge w:val="continue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it-IT"/>
              </w:rPr>
            </w:r>
          </w:p>
        </w:tc>
        <w:tc>
          <w:tcPr>
            <w:tcW w:w="3035" w:type="dxa"/>
            <w:gridSpan w:val="3"/>
            <w:vMerge w:val="continue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it-IT"/>
              </w:rPr>
            </w:r>
          </w:p>
        </w:tc>
      </w:tr>
      <w:tr>
        <w:trPr>
          <w:trHeight w:val="855" w:hRule="atLeast"/>
        </w:trPr>
        <w:tc>
          <w:tcPr>
            <w:tcW w:w="195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CCFFCC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it-IT"/>
              </w:rPr>
              <w:t xml:space="preserve">Immobili non produttivi di reddito fondiario, immobili posseduti dai soggetti passivi dell'ires, immobili locati </w:t>
            </w:r>
          </w:p>
        </w:tc>
        <w:tc>
          <w:tcPr>
            <w:tcW w:w="101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CCFFCC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val="en-GB" w:eastAsia="it-IT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n-GB" w:eastAsia="it-IT"/>
              </w:rPr>
              <w:t>Art. 13, comma 9, d.l. n. 201/2011</w:t>
            </w:r>
          </w:p>
        </w:tc>
        <w:tc>
          <w:tcPr>
            <w:tcW w:w="83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CCFFCC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it-IT"/>
              </w:rPr>
              <w:t>7,6‰</w:t>
            </w:r>
          </w:p>
        </w:tc>
        <w:tc>
          <w:tcPr>
            <w:tcW w:w="91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CCFFCC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it-IT"/>
              </w:rPr>
              <w:t>4‰</w:t>
            </w:r>
          </w:p>
        </w:tc>
        <w:tc>
          <w:tcPr>
            <w:tcW w:w="1008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CCFFCC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it-IT"/>
              </w:rPr>
              <w:t>10,6‰</w:t>
            </w:r>
          </w:p>
        </w:tc>
        <w:tc>
          <w:tcPr>
            <w:tcW w:w="999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CCFFCC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it-IT"/>
              </w:rPr>
              <w:t>Art. 1, commi 676 e 677, legge n. 147/2013</w:t>
            </w:r>
          </w:p>
        </w:tc>
        <w:tc>
          <w:tcPr>
            <w:tcW w:w="7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CCFFCC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it-IT"/>
              </w:rPr>
              <w:t>1‰</w:t>
            </w:r>
          </w:p>
        </w:tc>
        <w:tc>
          <w:tcPr>
            <w:tcW w:w="7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CCFFCC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63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  <w:insideH w:val="thickThinLargeGap" w:sz="6" w:space="0" w:color="000000"/>
              <w:insideV w:val="thickThinLargeGap" w:sz="6" w:space="0" w:color="000000"/>
            </w:tcBorders>
            <w:shd w:fill="CCFFCC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it-IT"/>
              </w:rPr>
              <w:t>Somma imu+tasi: max 10,6‰ (11,4‰ in caso di utilizzo della maggiorazione dello 0,8‰)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" w:hAnsi="Arial" w:eastAsia="Times New Roman" w:cs="Arial"/>
          <w:color w:val="333333"/>
          <w:sz w:val="18"/>
          <w:szCs w:val="18"/>
          <w:lang w:eastAsia="it-IT"/>
        </w:rPr>
      </w:pPr>
      <w:r>
        <w:rPr>
          <w:rFonts w:eastAsia="Times New Roman" w:cs="Arial" w:ascii="Arial" w:hAnsi="Arial"/>
          <w:color w:val="333333"/>
          <w:sz w:val="18"/>
          <w:szCs w:val="18"/>
          <w:lang w:eastAsia="it-IT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" w:hAnsi="Arial" w:eastAsia="Times New Roman" w:cs="Arial"/>
          <w:sz w:val="48"/>
          <w:szCs w:val="48"/>
          <w:lang w:eastAsia="it-IT"/>
        </w:rPr>
      </w:pPr>
      <w:r>
        <w:rPr>
          <w:rFonts w:eastAsia="Times New Roman" w:cs="Arial" w:ascii="Arial" w:hAnsi="Arial"/>
          <w:sz w:val="18"/>
          <w:szCs w:val="18"/>
          <w:lang w:eastAsia="it-IT"/>
        </w:rPr>
        <w:t>Il comma 26 dell'art. 1 Legge 208/2015 (Legge di stabilità) ha previsto il blocco degli aumenti dei tributi e delle addizionali per l'anno 2016, rispetto ai livelli deliberati per il 2015.</w:t>
      </w:r>
      <w:r>
        <w:rPr>
          <w:rFonts w:eastAsia="Times New Roman" w:cs="Arial" w:ascii="Arial" w:hAnsi="Arial"/>
          <w:sz w:val="48"/>
          <w:szCs w:val="48"/>
          <w:lang w:eastAsia="it-IT"/>
        </w:rPr>
        <w:br/>
      </w:r>
      <w:r>
        <w:rPr>
          <w:rFonts w:eastAsia="Times New Roman" w:cs="Arial" w:ascii="Arial" w:hAnsi="Arial"/>
          <w:sz w:val="18"/>
          <w:szCs w:val="18"/>
          <w:lang w:eastAsia="it-IT"/>
        </w:rPr>
        <w:t>Per determinare l’imposta dovuta va applicata alla base imponibile l’aliquota stabilita dal Comune (si veda prospetto riportato nella tabella dedicata alla determinazione della base imponibile).</w:t>
      </w:r>
      <w:r>
        <w:rPr>
          <w:rFonts w:eastAsia="Times New Roman" w:cs="Arial" w:ascii="Arial" w:hAnsi="Arial"/>
          <w:sz w:val="24"/>
          <w:szCs w:val="24"/>
          <w:lang w:eastAsia="it-IT"/>
        </w:rPr>
        <w:br/>
      </w:r>
      <w:r>
        <w:rPr>
          <w:rFonts w:eastAsia="Times New Roman" w:cs="Arial" w:ascii="Arial" w:hAnsi="Arial"/>
          <w:sz w:val="18"/>
          <w:szCs w:val="18"/>
          <w:lang w:eastAsia="it-IT"/>
        </w:rPr>
        <w:t>Occorrerà poi considerare eventuali riduzioni o detrazioni di imposta (vedasi paragrafo "Esenzioni, riduzioni e detrazioni")</w:t>
      </w:r>
      <w:r>
        <w:rPr>
          <w:rFonts w:eastAsia="Times New Roman" w:cs="Arial" w:ascii="Arial" w:hAnsi="Arial"/>
          <w:b/>
          <w:bCs/>
          <w:sz w:val="18"/>
          <w:szCs w:val="18"/>
          <w:lang w:eastAsia="it-IT"/>
        </w:rPr>
        <w:t>.</w:t>
      </w:r>
    </w:p>
    <w:p>
      <w:pPr>
        <w:pStyle w:val="Normal"/>
        <w:spacing w:lineRule="auto" w:line="240" w:before="280" w:after="0"/>
        <w:rPr>
          <w:rFonts w:ascii="Arial" w:hAnsi="Arial" w:eastAsia="Times New Roman" w:cs="Arial"/>
          <w:sz w:val="24"/>
          <w:szCs w:val="24"/>
          <w:lang w:eastAsia="it-IT"/>
        </w:rPr>
      </w:pPr>
      <w:r>
        <w:rPr>
          <w:rFonts w:eastAsia="Times New Roman" w:cs="Arial" w:ascii="Arial" w:hAnsi="Arial"/>
          <w:i/>
          <w:iCs/>
          <w:sz w:val="18"/>
          <w:szCs w:val="18"/>
          <w:lang w:eastAsia="it-IT"/>
        </w:rPr>
        <w:t>Esempio - Fabbricato di cat. A3 con rendita catastale di Euro 500.</w:t>
      </w:r>
    </w:p>
    <w:p>
      <w:pPr>
        <w:pStyle w:val="Normal"/>
        <w:spacing w:lineRule="auto" w:line="240" w:before="280" w:after="0"/>
        <w:rPr>
          <w:rFonts w:ascii="Arial" w:hAnsi="Arial" w:eastAsia="Times New Roman" w:cs="Arial"/>
          <w:sz w:val="24"/>
          <w:szCs w:val="24"/>
          <w:lang w:eastAsia="it-IT"/>
        </w:rPr>
      </w:pPr>
      <w:r>
        <w:rPr>
          <w:rFonts w:eastAsia="Times New Roman" w:cs="Arial" w:ascii="Arial" w:hAnsi="Arial"/>
          <w:sz w:val="18"/>
          <w:szCs w:val="18"/>
          <w:lang w:eastAsia="it-IT"/>
        </w:rPr>
        <w:t>Base imponibile =</w:t>
      </w:r>
      <w:r>
        <w:rPr>
          <w:rFonts w:eastAsia="Times New Roman" w:cs="Arial" w:ascii="Arial" w:hAnsi="Arial"/>
          <w:sz w:val="24"/>
          <w:szCs w:val="24"/>
          <w:lang w:eastAsia="it-IT"/>
        </w:rPr>
        <w:br/>
      </w:r>
      <w:r>
        <w:rPr>
          <w:rFonts w:eastAsia="Times New Roman" w:cs="Arial" w:ascii="Arial" w:hAnsi="Arial"/>
          <w:sz w:val="18"/>
          <w:szCs w:val="18"/>
          <w:lang w:eastAsia="it-IT"/>
        </w:rPr>
        <w:t>500 * 1,05 (rivalutazione del 5%) * 160 = 84.000,00.</w:t>
      </w:r>
    </w:p>
    <w:p>
      <w:pPr>
        <w:pStyle w:val="Normal"/>
        <w:spacing w:lineRule="auto" w:line="240" w:before="280" w:after="0"/>
        <w:rPr>
          <w:rFonts w:ascii="Arial" w:hAnsi="Arial" w:eastAsia="Times New Roman" w:cs="Arial"/>
          <w:sz w:val="24"/>
          <w:szCs w:val="24"/>
          <w:lang w:eastAsia="it-IT"/>
        </w:rPr>
      </w:pPr>
      <w:r>
        <w:rPr>
          <w:rFonts w:eastAsia="Times New Roman" w:cs="Arial" w:ascii="Arial" w:hAnsi="Arial"/>
          <w:sz w:val="18"/>
          <w:szCs w:val="18"/>
          <w:lang w:eastAsia="it-IT"/>
        </w:rPr>
        <w:t>Imposta dovuta (aliquota IMU 0,80 %, aliquota TASI 0,25%)</w:t>
      </w:r>
    </w:p>
    <w:p>
      <w:pPr>
        <w:pStyle w:val="Normal"/>
        <w:spacing w:lineRule="auto" w:line="240" w:before="280" w:after="0"/>
        <w:rPr>
          <w:rFonts w:ascii="Arial" w:hAnsi="Arial" w:eastAsia="Times New Roman" w:cs="Arial"/>
          <w:sz w:val="24"/>
          <w:szCs w:val="24"/>
          <w:lang w:eastAsia="it-IT"/>
        </w:rPr>
      </w:pPr>
      <w:r>
        <w:rPr>
          <w:rFonts w:eastAsia="Times New Roman" w:cs="Arial" w:ascii="Arial" w:hAnsi="Arial"/>
          <w:sz w:val="18"/>
          <w:szCs w:val="18"/>
          <w:lang w:eastAsia="it-IT"/>
        </w:rPr>
        <w:t>IMU: Euro 84.000,00 (base imponibile) * 0,80%= Euro 672,00.</w:t>
      </w:r>
    </w:p>
    <w:p>
      <w:pPr>
        <w:pStyle w:val="Normal"/>
        <w:spacing w:lineRule="auto" w:line="240" w:before="280" w:after="0"/>
        <w:rPr>
          <w:rFonts w:ascii="Arial" w:hAnsi="Arial" w:eastAsia="Times New Roman" w:cs="Arial"/>
          <w:sz w:val="24"/>
          <w:szCs w:val="24"/>
          <w:lang w:eastAsia="it-IT"/>
        </w:rPr>
      </w:pPr>
      <w:r>
        <w:rPr>
          <w:rFonts w:eastAsia="Times New Roman" w:cs="Arial" w:ascii="Arial" w:hAnsi="Arial"/>
          <w:sz w:val="18"/>
          <w:szCs w:val="18"/>
          <w:lang w:eastAsia="it-IT"/>
        </w:rPr>
        <w:t>TASI: Euro 84.000,00 (base imponibile) * 0,25%= Euro 210,00.</w:t>
      </w:r>
    </w:p>
    <w:p>
      <w:pPr>
        <w:pStyle w:val="Normal"/>
        <w:spacing w:lineRule="auto" w:line="240" w:before="280" w:after="0"/>
        <w:rPr>
          <w:rFonts w:ascii="Arial" w:hAnsi="Arial" w:eastAsia="Times New Roman" w:cs="Arial"/>
          <w:sz w:val="18"/>
          <w:szCs w:val="18"/>
          <w:lang w:eastAsia="it-IT"/>
        </w:rPr>
      </w:pPr>
      <w:r>
        <w:rPr>
          <w:rFonts w:eastAsia="Times New Roman" w:cs="Arial" w:ascii="Arial" w:hAnsi="Arial"/>
          <w:sz w:val="18"/>
          <w:szCs w:val="18"/>
          <w:lang w:eastAsia="it-IT"/>
        </w:rPr>
        <w:t>L’importo così ottenuto andrà proporzionato alla quota ed ai mesi di possesso (vedere paragrafo "Mesi, quote di possesso e detenzioni temporanee”).</w:t>
      </w:r>
      <w:r>
        <w:rPr>
          <w:rFonts w:eastAsia="Times New Roman" w:cs="Arial" w:ascii="Arial" w:hAnsi="Arial"/>
          <w:sz w:val="24"/>
          <w:szCs w:val="24"/>
          <w:lang w:eastAsia="it-IT"/>
        </w:rPr>
        <w:t xml:space="preserve"> 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9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character" w:styleId="Carpredefinitoparagrafo">
    <w:name w:val="Car. predefinito paragrafo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2016-04-18T11:23:00Z</dcterms:created>
  <dc:creator>Michele Mastrofilippo</dc:creator>
  <dc:description/>
  <dc:language>en-US</dc:language>
  <cp:lastModifiedBy>Riccardo Moraldi</cp:lastModifiedBy>
  <dcterms:modified xsi:type="dcterms:W3CDTF">2016-04-18T11:24:00Z</dcterms:modified>
  <cp:revision>3</cp:revision>
  <dc:subject/>
  <dc:title/>
</cp:coreProperties>
</file>